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69" w:rsidRPr="00222569" w:rsidRDefault="00222569" w:rsidP="00222569">
      <w:pPr>
        <w:keepNext/>
        <w:keepLines/>
        <w:pBdr>
          <w:top w:val="nil"/>
          <w:left w:val="nil"/>
          <w:bottom w:val="nil"/>
          <w:right w:val="nil"/>
          <w:between w:val="nil"/>
          <w:bar w:val="nil"/>
        </w:pBdr>
        <w:spacing w:before="480" w:after="0" w:line="240" w:lineRule="auto"/>
        <w:jc w:val="center"/>
        <w:outlineLvl w:val="0"/>
        <w:rPr>
          <w:rFonts w:ascii="Century Gothic" w:eastAsia="Times New Roman" w:hAnsi="Century Gothic" w:cs="Times New Roman"/>
          <w:bCs/>
          <w:color w:val="528F2A"/>
          <w:sz w:val="40"/>
          <w:szCs w:val="28"/>
          <w:bdr w:val="nil"/>
          <w:lang w:val="es-PR"/>
        </w:rPr>
      </w:pPr>
      <w:r w:rsidRPr="00222569">
        <w:rPr>
          <w:rFonts w:ascii="Century Gothic" w:eastAsia="Times New Roman" w:hAnsi="Century Gothic" w:cs="Times New Roman"/>
          <w:bCs/>
          <w:color w:val="528F2A"/>
          <w:sz w:val="40"/>
          <w:szCs w:val="28"/>
          <w:bdr w:val="nil"/>
          <w:lang w:val="es-PR"/>
        </w:rPr>
        <w:t>Evaluación Técnica</w:t>
      </w:r>
    </w:p>
    <w:p w:rsidR="00222569" w:rsidRPr="00222569" w:rsidRDefault="00222569" w:rsidP="0022256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s-PR"/>
        </w:rPr>
      </w:pPr>
    </w:p>
    <w:p w:rsidR="00222569" w:rsidRPr="00222569" w:rsidRDefault="00222569" w:rsidP="00222569">
      <w:pPr>
        <w:pBdr>
          <w:top w:val="nil"/>
          <w:left w:val="nil"/>
          <w:bottom w:val="nil"/>
          <w:right w:val="nil"/>
          <w:between w:val="nil"/>
          <w:bar w:val="nil"/>
        </w:pBdr>
        <w:spacing w:after="0" w:line="240" w:lineRule="auto"/>
        <w:ind w:left="-450"/>
        <w:jc w:val="both"/>
        <w:rPr>
          <w:rFonts w:ascii="Garamond" w:eastAsia="Arial Unicode MS" w:hAnsi="Garamond" w:cs="Times New Roman"/>
          <w:b/>
          <w:sz w:val="24"/>
          <w:szCs w:val="24"/>
          <w:bdr w:val="nil"/>
          <w:lang w:val="es-PR"/>
        </w:rPr>
      </w:pPr>
      <w:r w:rsidRPr="00222569">
        <w:rPr>
          <w:rFonts w:ascii="Garamond" w:eastAsia="Arial Unicode MS" w:hAnsi="Garamond" w:cs="Times New Roman"/>
          <w:b/>
          <w:sz w:val="24"/>
          <w:szCs w:val="24"/>
          <w:bdr w:val="nil"/>
          <w:lang w:val="es-PR"/>
        </w:rPr>
        <w:t>Instrucciones:</w:t>
      </w:r>
      <w:r w:rsidRPr="00222569">
        <w:rPr>
          <w:rFonts w:ascii="Garamond" w:eastAsia="Arial Unicode MS" w:hAnsi="Garamond" w:cs="Times New Roman"/>
          <w:sz w:val="24"/>
          <w:szCs w:val="24"/>
          <w:bdr w:val="nil"/>
          <w:lang w:val="es-PR"/>
        </w:rPr>
        <w:t xml:space="preserve"> A continuación se presenta el  formato de evaluación técnica. Esta hoja guiará la evaluación de la solicitud de la Organización Sin Fines de Lucro (OSFL) para los Fondos Legislativos para Impacto Comunitario 2015-2016. Marque con una equis (X) los requisitos</w:t>
      </w:r>
      <w:r w:rsidRPr="00222569">
        <w:rPr>
          <w:rFonts w:ascii="Garamond" w:eastAsia="Arial Unicode MS" w:hAnsi="Garamond" w:cs="Times New Roman"/>
          <w:b/>
          <w:sz w:val="24"/>
          <w:szCs w:val="24"/>
          <w:bdr w:val="nil"/>
          <w:lang w:val="es-PR"/>
        </w:rPr>
        <w:t xml:space="preserve"> </w:t>
      </w:r>
      <w:r w:rsidRPr="00222569">
        <w:rPr>
          <w:rFonts w:ascii="Garamond" w:eastAsia="Arial Unicode MS" w:hAnsi="Garamond" w:cs="Times New Roman"/>
          <w:sz w:val="24"/>
          <w:szCs w:val="24"/>
          <w:bdr w:val="nil"/>
          <w:lang w:val="es-PR"/>
        </w:rPr>
        <w:t>completados.</w:t>
      </w:r>
    </w:p>
    <w:p w:rsidR="00222569" w:rsidRPr="00222569" w:rsidRDefault="00222569" w:rsidP="00222569">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lang w:val="es-PR"/>
        </w:rPr>
      </w:pPr>
    </w:p>
    <w:tbl>
      <w:tblPr>
        <w:tblStyle w:val="FinancialTable"/>
        <w:tblW w:w="10435" w:type="dxa"/>
        <w:tblInd w:w="-455" w:type="dxa"/>
        <w:tblLook w:val="04A0" w:firstRow="1" w:lastRow="0" w:firstColumn="1" w:lastColumn="0" w:noHBand="0" w:noVBand="1"/>
      </w:tblPr>
      <w:tblGrid>
        <w:gridCol w:w="502"/>
        <w:gridCol w:w="9933"/>
      </w:tblGrid>
      <w:tr w:rsidR="00222569" w:rsidRPr="00222569" w:rsidTr="000E1D2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943634" w:themeFill="accent2" w:themeFillShade="BF"/>
          </w:tcPr>
          <w:p w:rsidR="00222569" w:rsidRPr="00222569" w:rsidRDefault="00222569" w:rsidP="00222569">
            <w:pPr>
              <w:pBdr>
                <w:top w:val="nil"/>
                <w:left w:val="nil"/>
                <w:bottom w:val="nil"/>
                <w:right w:val="nil"/>
                <w:between w:val="nil"/>
                <w:bar w:val="nil"/>
              </w:pBdr>
              <w:spacing w:after="0" w:line="360" w:lineRule="auto"/>
              <w:jc w:val="both"/>
              <w:rPr>
                <w:rFonts w:ascii="Garamond" w:eastAsia="Arial Unicode MS" w:hAnsi="Garamond" w:cs="Times New Roman"/>
                <w:b/>
                <w:sz w:val="24"/>
                <w:szCs w:val="24"/>
                <w:bdr w:val="nil"/>
                <w:lang w:val="es-PR"/>
              </w:rPr>
            </w:pPr>
            <w:r w:rsidRPr="00222569">
              <w:rPr>
                <w:rFonts w:ascii="Garamond" w:eastAsia="Arial Unicode MS" w:hAnsi="Garamond" w:cs="Times New Roman"/>
                <w:b/>
                <w:color w:val="FFFFFF"/>
                <w:sz w:val="24"/>
                <w:szCs w:val="24"/>
                <w:bdr w:val="nil"/>
                <w:lang w:val="es-PR"/>
              </w:rPr>
              <w:t xml:space="preserve">Requisitos Programáticos </w:t>
            </w:r>
          </w:p>
        </w:tc>
      </w:tr>
      <w:tr w:rsidR="00222569" w:rsidRPr="005768BE" w:rsidTr="000E1D29">
        <w:trPr>
          <w:trHeight w:val="36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line="360" w:lineRule="auto"/>
              <w:jc w:val="both"/>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5768BE">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solicitud fue </w:t>
            </w:r>
            <w:r w:rsidRPr="00222569">
              <w:rPr>
                <w:rFonts w:ascii="Times New Roman" w:eastAsia="Arial Unicode MS" w:hAnsi="Times New Roman" w:cs="Times New Roman"/>
                <w:b/>
                <w:sz w:val="24"/>
                <w:szCs w:val="24"/>
                <w:bdr w:val="nil"/>
                <w:lang w:val="es-PR"/>
              </w:rPr>
              <w:t>radicada electrónicamente</w:t>
            </w:r>
            <w:r w:rsidR="005768BE">
              <w:rPr>
                <w:rFonts w:ascii="Times New Roman" w:eastAsia="Arial Unicode MS" w:hAnsi="Times New Roman" w:cs="Times New Roman"/>
                <w:sz w:val="24"/>
                <w:szCs w:val="24"/>
                <w:bdr w:val="nil"/>
                <w:lang w:val="es-PR"/>
              </w:rPr>
              <w:t xml:space="preserve"> en o antes del viernes</w:t>
            </w:r>
            <w:r w:rsidRPr="00222569">
              <w:rPr>
                <w:rFonts w:ascii="Times New Roman" w:eastAsia="Arial Unicode MS" w:hAnsi="Times New Roman" w:cs="Times New Roman"/>
                <w:sz w:val="24"/>
                <w:szCs w:val="24"/>
                <w:bdr w:val="nil"/>
                <w:lang w:val="es-PR"/>
              </w:rPr>
              <w:t xml:space="preserve">, 10 de abril de 2015. </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line="360" w:lineRule="auto"/>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completó todas las partes del </w:t>
            </w:r>
            <w:r w:rsidRPr="00222569">
              <w:rPr>
                <w:rFonts w:ascii="Times New Roman" w:eastAsia="Arial Unicode MS" w:hAnsi="Times New Roman" w:cs="Times New Roman"/>
                <w:b/>
                <w:sz w:val="24"/>
                <w:szCs w:val="24"/>
                <w:bdr w:val="nil"/>
                <w:lang w:val="es-PR"/>
              </w:rPr>
              <w:t>registro de la OSFL</w:t>
            </w:r>
            <w:r w:rsidRPr="00222569">
              <w:rPr>
                <w:rFonts w:ascii="Times New Roman" w:eastAsia="Arial Unicode MS" w:hAnsi="Times New Roman" w:cs="Times New Roman"/>
                <w:sz w:val="24"/>
                <w:szCs w:val="24"/>
                <w:bdr w:val="nil"/>
                <w:lang w:val="es-PR"/>
              </w:rPr>
              <w:t>.</w:t>
            </w:r>
            <w:bookmarkStart w:id="0" w:name="_GoBack"/>
            <w:bookmarkEnd w:id="0"/>
          </w:p>
        </w:tc>
      </w:tr>
      <w:tr w:rsidR="00222569" w:rsidRPr="005768BE" w:rsidTr="000E1D29">
        <w:trPr>
          <w:trHeight w:val="396"/>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line="360" w:lineRule="auto"/>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presento la Resolución Corporativa informando la composición de la Junta de Directores conforme al Artículo 1101.01 (d) 1 de la Ley 1-2011, según enmendada, mejor conocida como “Códigos de Rentas Internas para un Nuevo Puerto Rico”.  </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line="360" w:lineRule="auto"/>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completó todas las partes de la </w:t>
            </w:r>
            <w:r w:rsidRPr="00222569">
              <w:rPr>
                <w:rFonts w:ascii="Times New Roman" w:eastAsia="Arial Unicode MS" w:hAnsi="Times New Roman" w:cs="Times New Roman"/>
                <w:b/>
                <w:sz w:val="24"/>
                <w:szCs w:val="24"/>
                <w:bdr w:val="nil"/>
                <w:lang w:val="es-PR"/>
              </w:rPr>
              <w:t>descripción de la comunidad o población a servir</w:t>
            </w:r>
            <w:r w:rsidRPr="00222569">
              <w:rPr>
                <w:rFonts w:ascii="Times New Roman" w:eastAsia="Arial Unicode MS" w:hAnsi="Times New Roman" w:cs="Times New Roman"/>
                <w:sz w:val="24"/>
                <w:szCs w:val="24"/>
                <w:bdr w:val="nil"/>
                <w:lang w:val="es-PR"/>
              </w:rPr>
              <w:t xml:space="preserve">. </w:t>
            </w:r>
          </w:p>
        </w:tc>
      </w:tr>
      <w:tr w:rsidR="00222569" w:rsidRPr="005768BE" w:rsidTr="000E1D29">
        <w:trPr>
          <w:trHeight w:val="369"/>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presentó el </w:t>
            </w:r>
            <w:r w:rsidRPr="00222569">
              <w:rPr>
                <w:rFonts w:ascii="Times New Roman" w:eastAsia="Arial Unicode MS" w:hAnsi="Times New Roman" w:cs="Times New Roman"/>
                <w:b/>
                <w:sz w:val="24"/>
                <w:szCs w:val="24"/>
                <w:bdr w:val="nil"/>
                <w:lang w:val="es-PR"/>
              </w:rPr>
              <w:t>planteamiento de necesidad  de su comunidad/población a servir</w:t>
            </w:r>
            <w:r w:rsidRPr="00222569">
              <w:rPr>
                <w:rFonts w:ascii="Times New Roman" w:eastAsia="Arial Unicode MS" w:hAnsi="Times New Roman" w:cs="Times New Roman"/>
                <w:sz w:val="24"/>
                <w:szCs w:val="24"/>
                <w:bdr w:val="nil"/>
                <w:lang w:val="es-PR"/>
              </w:rPr>
              <w:t>.</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La OSFL trabajará al menos una (1) de las tres (3)</w:t>
            </w:r>
            <w:r w:rsidRPr="00222569">
              <w:rPr>
                <w:rFonts w:ascii="Times New Roman" w:eastAsia="Arial Unicode MS" w:hAnsi="Times New Roman" w:cs="Times New Roman"/>
                <w:b/>
                <w:sz w:val="24"/>
                <w:szCs w:val="24"/>
                <w:bdr w:val="nil"/>
                <w:lang w:val="es-PR"/>
              </w:rPr>
              <w:t xml:space="preserve"> áreas de enfoque programático</w:t>
            </w:r>
            <w:r w:rsidRPr="00222569">
              <w:rPr>
                <w:rFonts w:ascii="Times New Roman" w:eastAsia="Arial Unicode MS" w:hAnsi="Times New Roman" w:cs="Times New Roman"/>
                <w:sz w:val="24"/>
                <w:szCs w:val="24"/>
                <w:bdr w:val="nil"/>
                <w:lang w:val="es-PR"/>
              </w:rPr>
              <w:t>. Las áreas son Impulso de Estabilidad Financiera y Desarrollo Económico;  Promoción de Conductas Positivas y Saludables; y Fortalecimiento de Nuestra Cultura.</w:t>
            </w:r>
          </w:p>
        </w:tc>
      </w:tr>
      <w:tr w:rsidR="00222569" w:rsidRPr="005768BE" w:rsidTr="000E1D29">
        <w:trPr>
          <w:trHeight w:val="585"/>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indicó si ha recibido </w:t>
            </w:r>
            <w:r w:rsidRPr="00222569">
              <w:rPr>
                <w:rFonts w:ascii="Times New Roman" w:eastAsia="Arial Unicode MS" w:hAnsi="Times New Roman" w:cs="Times New Roman"/>
                <w:b/>
                <w:sz w:val="24"/>
                <w:szCs w:val="24"/>
                <w:bdr w:val="nil"/>
                <w:lang w:val="es-PR"/>
              </w:rPr>
              <w:t>donativos legislativos en años anteriores</w:t>
            </w:r>
            <w:r w:rsidRPr="00222569">
              <w:rPr>
                <w:rFonts w:ascii="Times New Roman" w:eastAsia="Arial Unicode MS" w:hAnsi="Times New Roman" w:cs="Times New Roman"/>
                <w:sz w:val="24"/>
                <w:szCs w:val="24"/>
                <w:bdr w:val="nil"/>
                <w:lang w:val="es-PR"/>
              </w:rPr>
              <w:t xml:space="preserve"> y especificó la cantidad otorgada.</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tabs>
                <w:tab w:val="left" w:pos="2693"/>
              </w:tabs>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demostró </w:t>
            </w:r>
            <w:r w:rsidRPr="00222569">
              <w:rPr>
                <w:rFonts w:ascii="Times New Roman" w:eastAsia="Arial Unicode MS" w:hAnsi="Times New Roman" w:cs="Times New Roman"/>
                <w:b/>
                <w:sz w:val="24"/>
                <w:szCs w:val="24"/>
                <w:bdr w:val="nil"/>
                <w:lang w:val="es-PR"/>
              </w:rPr>
              <w:t>evidencia de pareo de fondos</w:t>
            </w:r>
            <w:r w:rsidRPr="00222569">
              <w:rPr>
                <w:rFonts w:ascii="Times New Roman" w:eastAsia="Arial Unicode MS" w:hAnsi="Times New Roman" w:cs="Times New Roman"/>
                <w:sz w:val="24"/>
                <w:szCs w:val="24"/>
                <w:bdr w:val="nil"/>
                <w:lang w:val="es-PR"/>
              </w:rPr>
              <w:t xml:space="preserve"> por una cantidad mínima equivalente al 20% del fondo solicitado en su propuesta. </w:t>
            </w:r>
          </w:p>
        </w:tc>
      </w:tr>
      <w:tr w:rsidR="00222569" w:rsidRPr="005768BE" w:rsidTr="000E1D29">
        <w:trPr>
          <w:trHeight w:val="585"/>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tabs>
                <w:tab w:val="left" w:pos="2693"/>
              </w:tabs>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persona responsable que completó la propuesta de la OSFL, </w:t>
            </w:r>
            <w:r w:rsidRPr="00222569">
              <w:rPr>
                <w:rFonts w:ascii="Times New Roman" w:eastAsia="Arial Unicode MS" w:hAnsi="Times New Roman" w:cs="Times New Roman"/>
                <w:b/>
                <w:sz w:val="24"/>
                <w:szCs w:val="24"/>
                <w:bdr w:val="nil"/>
                <w:lang w:val="es-PR"/>
              </w:rPr>
              <w:t xml:space="preserve">Juramentó </w:t>
            </w:r>
            <w:r w:rsidRPr="00222569">
              <w:rPr>
                <w:rFonts w:ascii="Times New Roman" w:eastAsia="Arial Unicode MS" w:hAnsi="Times New Roman" w:cs="Times New Roman"/>
                <w:sz w:val="24"/>
                <w:szCs w:val="24"/>
                <w:bdr w:val="nil"/>
                <w:lang w:val="es-PR"/>
              </w:rPr>
              <w:t xml:space="preserve">que la información entrada es fiel y exacta. </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completó todas las partes de </w:t>
            </w:r>
            <w:r w:rsidRPr="00222569">
              <w:rPr>
                <w:rFonts w:ascii="Times New Roman" w:eastAsia="Arial Unicode MS" w:hAnsi="Times New Roman" w:cs="Times New Roman"/>
                <w:b/>
                <w:sz w:val="24"/>
                <w:szCs w:val="24"/>
                <w:bdr w:val="nil"/>
                <w:lang w:val="es-PR"/>
              </w:rPr>
              <w:t>programa o servicio comunitario propuesto</w:t>
            </w:r>
            <w:r w:rsidRPr="00222569">
              <w:rPr>
                <w:rFonts w:ascii="Times New Roman" w:eastAsia="Arial Unicode MS" w:hAnsi="Times New Roman" w:cs="Times New Roman"/>
                <w:sz w:val="24"/>
                <w:szCs w:val="24"/>
                <w:bdr w:val="nil"/>
                <w:lang w:val="es-PR"/>
              </w:rPr>
              <w:t>.</w:t>
            </w:r>
          </w:p>
        </w:tc>
      </w:tr>
      <w:tr w:rsidR="00222569" w:rsidRPr="005768BE" w:rsidTr="000E1D29">
        <w:trPr>
          <w:trHeight w:val="522"/>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anejo un </w:t>
            </w:r>
            <w:r w:rsidRPr="00222569">
              <w:rPr>
                <w:rFonts w:ascii="Times New Roman" w:eastAsia="Arial Unicode MS" w:hAnsi="Times New Roman" w:cs="Times New Roman"/>
                <w:b/>
                <w:sz w:val="24"/>
                <w:szCs w:val="24"/>
                <w:bdr w:val="nil"/>
                <w:lang w:val="es-PR"/>
              </w:rPr>
              <w:t>plan de trabajo</w:t>
            </w:r>
            <w:r w:rsidRPr="00222569">
              <w:rPr>
                <w:rFonts w:ascii="Times New Roman" w:eastAsia="Arial Unicode MS" w:hAnsi="Times New Roman" w:cs="Times New Roman"/>
                <w:sz w:val="24"/>
                <w:szCs w:val="24"/>
                <w:bdr w:val="nil"/>
                <w:lang w:val="es-PR"/>
              </w:rPr>
              <w:t xml:space="preserve"> de como impactará las necesidades en su comunidad.</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completó todas las partes de </w:t>
            </w:r>
            <w:r w:rsidRPr="00222569">
              <w:rPr>
                <w:rFonts w:ascii="Times New Roman" w:eastAsia="Arial Unicode MS" w:hAnsi="Times New Roman" w:cs="Times New Roman"/>
                <w:b/>
                <w:sz w:val="24"/>
                <w:szCs w:val="24"/>
                <w:bdr w:val="nil"/>
                <w:lang w:val="es-PR"/>
              </w:rPr>
              <w:t>experiencia en evaluación.</w:t>
            </w:r>
            <w:r w:rsidRPr="00222569">
              <w:rPr>
                <w:rFonts w:ascii="Times New Roman" w:eastAsia="Arial Unicode MS" w:hAnsi="Times New Roman" w:cs="Times New Roman"/>
                <w:sz w:val="24"/>
                <w:szCs w:val="24"/>
                <w:bdr w:val="nil"/>
                <w:lang w:val="es-PR"/>
              </w:rPr>
              <w:t xml:space="preserve"> </w:t>
            </w:r>
          </w:p>
        </w:tc>
      </w:tr>
      <w:tr w:rsidR="00222569" w:rsidRPr="005768BE" w:rsidTr="000E1D29">
        <w:trPr>
          <w:trHeight w:val="432"/>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completó todas las partes de </w:t>
            </w:r>
            <w:r w:rsidRPr="00222569">
              <w:rPr>
                <w:rFonts w:ascii="Times New Roman" w:eastAsia="Arial Unicode MS" w:hAnsi="Times New Roman" w:cs="Times New Roman"/>
                <w:b/>
                <w:sz w:val="24"/>
                <w:szCs w:val="24"/>
                <w:bdr w:val="nil"/>
                <w:lang w:val="es-PR"/>
              </w:rPr>
              <w:t>evaluación del proyecto o servicio comunitario.</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presentó/anejo </w:t>
            </w:r>
            <w:r w:rsidRPr="00222569">
              <w:rPr>
                <w:rFonts w:ascii="Times New Roman" w:eastAsia="Arial Unicode MS" w:hAnsi="Times New Roman" w:cs="Times New Roman"/>
                <w:b/>
                <w:sz w:val="24"/>
                <w:szCs w:val="24"/>
                <w:bdr w:val="nil"/>
                <w:lang w:val="es-PR"/>
              </w:rPr>
              <w:t>acuerdo colaborativo/memorándum de entendimiento</w:t>
            </w:r>
            <w:r w:rsidRPr="00222569">
              <w:rPr>
                <w:rFonts w:ascii="Times New Roman" w:eastAsia="Arial Unicode MS" w:hAnsi="Times New Roman" w:cs="Times New Roman"/>
                <w:sz w:val="24"/>
                <w:szCs w:val="24"/>
                <w:bdr w:val="nil"/>
                <w:lang w:val="es-PR"/>
              </w:rPr>
              <w:t xml:space="preserve"> con otras organizaciones, municipios, empresas privadas o grupos que evidencien el apoyo brindado para llevar a cabo el proyecto o servicio comunitario.</w:t>
            </w:r>
          </w:p>
        </w:tc>
      </w:tr>
      <w:tr w:rsidR="00222569" w:rsidRPr="005768BE" w:rsidTr="000E1D29">
        <w:trPr>
          <w:trHeight w:val="495"/>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presentó las </w:t>
            </w:r>
            <w:r w:rsidRPr="00222569">
              <w:rPr>
                <w:rFonts w:ascii="Times New Roman" w:eastAsia="Arial Unicode MS" w:hAnsi="Times New Roman" w:cs="Times New Roman"/>
                <w:b/>
                <w:sz w:val="24"/>
                <w:szCs w:val="24"/>
                <w:bdr w:val="nil"/>
                <w:lang w:val="es-PR"/>
              </w:rPr>
              <w:t>fuentes de financiamiento</w:t>
            </w:r>
            <w:r w:rsidRPr="00222569">
              <w:rPr>
                <w:rFonts w:ascii="Times New Roman" w:eastAsia="Arial Unicode MS" w:hAnsi="Times New Roman" w:cs="Times New Roman"/>
                <w:sz w:val="24"/>
                <w:szCs w:val="24"/>
                <w:bdr w:val="nil"/>
                <w:lang w:val="es-PR"/>
              </w:rPr>
              <w:t xml:space="preserve"> para el año fiscal 2014-15. </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Default="00222569" w:rsidP="00222569">
            <w:pPr>
              <w:pBdr>
                <w:top w:val="nil"/>
                <w:left w:val="nil"/>
                <w:bottom w:val="nil"/>
                <w:right w:val="nil"/>
                <w:between w:val="nil"/>
                <w:bar w:val="nil"/>
              </w:pBdr>
              <w:spacing w:after="0"/>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La OSFL presentó un </w:t>
            </w:r>
            <w:r w:rsidRPr="00222569">
              <w:rPr>
                <w:rFonts w:ascii="Times New Roman" w:eastAsia="Arial Unicode MS" w:hAnsi="Times New Roman" w:cs="Times New Roman"/>
                <w:b/>
                <w:sz w:val="24"/>
                <w:szCs w:val="24"/>
                <w:bdr w:val="nil"/>
                <w:lang w:val="es-PR"/>
              </w:rPr>
              <w:t>presupuesto</w:t>
            </w:r>
            <w:r w:rsidRPr="00222569">
              <w:rPr>
                <w:rFonts w:ascii="Times New Roman" w:eastAsia="Arial Unicode MS" w:hAnsi="Times New Roman" w:cs="Times New Roman"/>
                <w:sz w:val="24"/>
                <w:szCs w:val="24"/>
                <w:bdr w:val="nil"/>
                <w:lang w:val="es-PR"/>
              </w:rPr>
              <w:t xml:space="preserve"> para el año fiscal 2015-16. </w:t>
            </w:r>
          </w:p>
          <w:p w:rsidR="000F706B" w:rsidRPr="00222569" w:rsidRDefault="000F706B" w:rsidP="00222569">
            <w:pPr>
              <w:pBdr>
                <w:top w:val="nil"/>
                <w:left w:val="nil"/>
                <w:bottom w:val="nil"/>
                <w:right w:val="nil"/>
                <w:between w:val="nil"/>
                <w:bar w:val="nil"/>
              </w:pBdr>
              <w:spacing w:after="0"/>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p>
        </w:tc>
      </w:tr>
      <w:tr w:rsidR="00222569" w:rsidRPr="00222569" w:rsidTr="000E1D29">
        <w:trPr>
          <w:tblHeader/>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943634" w:themeFill="accent2" w:themeFillShade="BF"/>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b/>
                <w:sz w:val="24"/>
                <w:szCs w:val="24"/>
                <w:bdr w:val="nil"/>
                <w:lang w:val="es-PR"/>
              </w:rPr>
            </w:pPr>
            <w:r w:rsidRPr="00222569">
              <w:rPr>
                <w:rFonts w:ascii="Garamond" w:eastAsia="Arial Unicode MS" w:hAnsi="Garamond" w:cs="Times New Roman"/>
                <w:b/>
                <w:color w:val="FFFFFF"/>
                <w:sz w:val="24"/>
                <w:szCs w:val="24"/>
                <w:bdr w:val="nil"/>
                <w:lang w:val="es-PR"/>
              </w:rPr>
              <w:lastRenderedPageBreak/>
              <w:t xml:space="preserve">Requisitos Administrativos y Fiscales </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435" w:type="dxa"/>
            <w:gridSpan w:val="2"/>
          </w:tcPr>
          <w:p w:rsidR="00222569" w:rsidRPr="00222569" w:rsidRDefault="00222569" w:rsidP="00222569">
            <w:pPr>
              <w:pBdr>
                <w:top w:val="nil"/>
                <w:left w:val="nil"/>
                <w:bottom w:val="nil"/>
                <w:right w:val="nil"/>
                <w:between w:val="nil"/>
                <w:bar w:val="nil"/>
              </w:pBdr>
              <w:spacing w:after="0"/>
              <w:jc w:val="both"/>
              <w:rPr>
                <w:rFonts w:ascii="Garamond" w:eastAsia="Arial Unicode MS" w:hAnsi="Garamond" w:cs="Times New Roman"/>
                <w:sz w:val="24"/>
                <w:szCs w:val="24"/>
                <w:bdr w:val="nil"/>
                <w:lang w:val="es-PR"/>
              </w:rPr>
            </w:pPr>
            <w:r w:rsidRPr="00222569">
              <w:rPr>
                <w:rFonts w:ascii="Garamond" w:eastAsia="Arial Unicode MS" w:hAnsi="Garamond" w:cs="Times New Roman"/>
                <w:sz w:val="24"/>
                <w:szCs w:val="24"/>
                <w:bdr w:val="nil"/>
                <w:lang w:val="es-PR"/>
              </w:rPr>
              <w:t>La OSFL anejó los siguientes documentos:</w:t>
            </w:r>
          </w:p>
        </w:tc>
      </w:tr>
      <w:tr w:rsidR="00222569" w:rsidRPr="005768BE" w:rsidTr="000E1D29">
        <w:trPr>
          <w:trHeight w:val="657"/>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Certificación de radicación de informe anual (“</w:t>
            </w:r>
            <w:proofErr w:type="spellStart"/>
            <w:r w:rsidRPr="00222569">
              <w:rPr>
                <w:rFonts w:ascii="Times New Roman" w:eastAsia="Arial Unicode MS" w:hAnsi="Times New Roman" w:cs="Times New Roman"/>
                <w:b/>
                <w:sz w:val="24"/>
                <w:szCs w:val="24"/>
                <w:bdr w:val="nil"/>
                <w:lang w:val="es-PR"/>
              </w:rPr>
              <w:t>Good</w:t>
            </w:r>
            <w:proofErr w:type="spellEnd"/>
            <w:r w:rsidRPr="00222569">
              <w:rPr>
                <w:rFonts w:ascii="Times New Roman" w:eastAsia="Arial Unicode MS" w:hAnsi="Times New Roman" w:cs="Times New Roman"/>
                <w:b/>
                <w:sz w:val="24"/>
                <w:szCs w:val="24"/>
                <w:bdr w:val="nil"/>
                <w:lang w:val="es-PR"/>
              </w:rPr>
              <w:t xml:space="preserve"> Standing</w:t>
            </w:r>
            <w:r w:rsidRPr="00222569">
              <w:rPr>
                <w:rFonts w:ascii="Times New Roman" w:eastAsia="Arial Unicode MS" w:hAnsi="Times New Roman" w:cs="Times New Roman"/>
                <w:sz w:val="24"/>
                <w:szCs w:val="24"/>
                <w:bdr w:val="nil"/>
                <w:lang w:val="es-PR"/>
              </w:rPr>
              <w:t>”) del Departamento de Estado, vigente a la fecha de radicación.</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Certificación de vigencia de </w:t>
            </w:r>
            <w:r w:rsidRPr="00222569">
              <w:rPr>
                <w:rFonts w:ascii="Times New Roman" w:eastAsia="Arial Unicode MS" w:hAnsi="Times New Roman" w:cs="Times New Roman"/>
                <w:b/>
                <w:sz w:val="24"/>
                <w:szCs w:val="24"/>
                <w:bdr w:val="nil"/>
                <w:lang w:val="es-PR"/>
              </w:rPr>
              <w:t>exención contributiva</w:t>
            </w:r>
            <w:r w:rsidRPr="00222569">
              <w:rPr>
                <w:rFonts w:ascii="Times New Roman" w:eastAsia="Arial Unicode MS" w:hAnsi="Times New Roman" w:cs="Times New Roman"/>
                <w:sz w:val="24"/>
                <w:szCs w:val="24"/>
                <w:bdr w:val="nil"/>
                <w:lang w:val="es-PR"/>
              </w:rPr>
              <w:t xml:space="preserve"> del Departamento de Hacienda.</w:t>
            </w:r>
          </w:p>
        </w:tc>
      </w:tr>
      <w:tr w:rsidR="00222569" w:rsidRPr="005768BE" w:rsidTr="000E1D29">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b/>
                <w:sz w:val="24"/>
                <w:szCs w:val="24"/>
                <w:bdr w:val="nil"/>
                <w:lang w:val="es-PR"/>
              </w:rPr>
              <w:t>Certificación negativa de deuda</w:t>
            </w:r>
            <w:r w:rsidRPr="00222569">
              <w:rPr>
                <w:rFonts w:ascii="Times New Roman" w:eastAsia="Arial Unicode MS" w:hAnsi="Times New Roman" w:cs="Times New Roman"/>
                <w:sz w:val="24"/>
                <w:szCs w:val="24"/>
                <w:bdr w:val="nil"/>
                <w:lang w:val="es-PR"/>
              </w:rPr>
              <w:t xml:space="preserve"> para todos los fines del Departamento de Hacienda, vigente para el año 2015.</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Copia certificada de la</w:t>
            </w:r>
            <w:r w:rsidRPr="00222569">
              <w:rPr>
                <w:rFonts w:ascii="Times New Roman" w:eastAsia="Arial Unicode MS" w:hAnsi="Times New Roman" w:cs="Times New Roman"/>
                <w:b/>
                <w:sz w:val="24"/>
                <w:szCs w:val="24"/>
                <w:bdr w:val="nil"/>
                <w:lang w:val="es-PR"/>
              </w:rPr>
              <w:t xml:space="preserve"> última planilla radicada</w:t>
            </w:r>
            <w:r w:rsidRPr="00222569">
              <w:rPr>
                <w:rFonts w:ascii="Times New Roman" w:eastAsia="Arial Unicode MS" w:hAnsi="Times New Roman" w:cs="Times New Roman"/>
                <w:sz w:val="24"/>
                <w:szCs w:val="24"/>
                <w:bdr w:val="nil"/>
                <w:lang w:val="es-PR"/>
              </w:rPr>
              <w:t xml:space="preserve"> ante el Departamento de Hacienda.</w:t>
            </w:r>
          </w:p>
        </w:tc>
      </w:tr>
      <w:tr w:rsidR="00222569" w:rsidRPr="005768BE" w:rsidTr="000E1D29">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b/>
                <w:sz w:val="24"/>
                <w:szCs w:val="24"/>
                <w:bdr w:val="nil"/>
                <w:lang w:val="es-PR"/>
              </w:rPr>
              <w:t>Certificación negativa de deuda de propiedad mueble e inmueble</w:t>
            </w:r>
            <w:r w:rsidRPr="00222569">
              <w:rPr>
                <w:rFonts w:ascii="Times New Roman" w:eastAsia="Arial Unicode MS" w:hAnsi="Times New Roman" w:cs="Times New Roman"/>
                <w:sz w:val="24"/>
                <w:szCs w:val="24"/>
                <w:bdr w:val="nil"/>
                <w:lang w:val="es-PR"/>
              </w:rPr>
              <w:t xml:space="preserve"> del Centro de Recaudaciones de Ingreso Municipales (CRIM), vigente a la fecha de radicación.</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32"/>
                <w:szCs w:val="32"/>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b/>
                <w:sz w:val="24"/>
                <w:szCs w:val="24"/>
                <w:bdr w:val="nil"/>
                <w:lang w:val="es-PR"/>
              </w:rPr>
              <w:t>Certificación negativa de deuda</w:t>
            </w:r>
            <w:r w:rsidRPr="00222569">
              <w:rPr>
                <w:rFonts w:ascii="Times New Roman" w:eastAsia="Arial Unicode MS" w:hAnsi="Times New Roman" w:cs="Times New Roman"/>
                <w:sz w:val="24"/>
                <w:szCs w:val="24"/>
                <w:bdr w:val="nil"/>
                <w:lang w:val="es-PR"/>
              </w:rPr>
              <w:t xml:space="preserve"> de la Corporación del Fondo del Seguro del Estado, vigente a la fecha de radicación </w:t>
            </w:r>
          </w:p>
        </w:tc>
      </w:tr>
      <w:tr w:rsidR="00222569" w:rsidRPr="005768BE" w:rsidTr="000E1D29">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Copia certificada del </w:t>
            </w:r>
            <w:r w:rsidRPr="00222569">
              <w:rPr>
                <w:rFonts w:ascii="Times New Roman" w:eastAsia="Arial Unicode MS" w:hAnsi="Times New Roman" w:cs="Times New Roman"/>
                <w:b/>
                <w:sz w:val="24"/>
                <w:szCs w:val="24"/>
                <w:bdr w:val="nil"/>
                <w:lang w:val="es-PR"/>
              </w:rPr>
              <w:t>Plan Estratégico de la OSFL</w:t>
            </w:r>
            <w:r w:rsidRPr="00222569">
              <w:rPr>
                <w:rFonts w:ascii="Times New Roman" w:eastAsia="Arial Unicode MS" w:hAnsi="Times New Roman" w:cs="Times New Roman"/>
                <w:sz w:val="24"/>
                <w:szCs w:val="24"/>
                <w:bdr w:val="nil"/>
                <w:lang w:val="es-PR"/>
              </w:rPr>
              <w:t xml:space="preserve"> firmada por los miembros de la Junta de Directores.</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Copia certificada del </w:t>
            </w:r>
            <w:r w:rsidRPr="00222569">
              <w:rPr>
                <w:rFonts w:ascii="Times New Roman" w:eastAsia="Arial Unicode MS" w:hAnsi="Times New Roman" w:cs="Times New Roman"/>
                <w:b/>
                <w:sz w:val="24"/>
                <w:szCs w:val="24"/>
                <w:bdr w:val="nil"/>
                <w:lang w:val="es-PR"/>
              </w:rPr>
              <w:t>Presupuesto Operacional Anual de la OSFL</w:t>
            </w:r>
            <w:r w:rsidRPr="00222569">
              <w:rPr>
                <w:rFonts w:ascii="Times New Roman" w:eastAsia="Arial Unicode MS" w:hAnsi="Times New Roman" w:cs="Times New Roman"/>
                <w:sz w:val="24"/>
                <w:szCs w:val="24"/>
                <w:bdr w:val="nil"/>
                <w:lang w:val="es-PR"/>
              </w:rPr>
              <w:t xml:space="preserve"> certificado por el Presidente de la Junta de Directores.</w:t>
            </w:r>
          </w:p>
        </w:tc>
      </w:tr>
      <w:tr w:rsidR="00222569" w:rsidRPr="005768BE" w:rsidTr="000E1D29">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lang w:val="es-ES_tradnl"/>
              </w:rPr>
            </w:pPr>
            <w:r w:rsidRPr="00222569">
              <w:rPr>
                <w:rFonts w:ascii="Times New Roman" w:eastAsia="Arial Unicode MS" w:hAnsi="Times New Roman" w:cs="Times New Roman"/>
                <w:sz w:val="24"/>
                <w:szCs w:val="24"/>
                <w:bdr w:val="nil"/>
                <w:lang w:val="es-ES_tradnl"/>
              </w:rPr>
              <w:t>Estados Financieros:</w:t>
            </w:r>
          </w:p>
          <w:p w:rsidR="00222569" w:rsidRPr="00222569" w:rsidRDefault="00222569" w:rsidP="00222569">
            <w:pPr>
              <w:numPr>
                <w:ilvl w:val="0"/>
                <w:numId w:val="2"/>
              </w:numPr>
              <w:pBdr>
                <w:top w:val="nil"/>
                <w:left w:val="nil"/>
                <w:bottom w:val="nil"/>
                <w:right w:val="nil"/>
                <w:between w:val="nil"/>
                <w:bar w:val="nil"/>
              </w:pBdr>
              <w:contextualSpacing/>
              <w:jc w:val="both"/>
              <w:cnfStyle w:val="000000000000" w:firstRow="0" w:lastRow="0" w:firstColumn="0" w:lastColumn="0" w:oddVBand="0" w:evenVBand="0" w:oddHBand="0" w:evenHBand="0" w:firstRowFirstColumn="0" w:firstRowLastColumn="0" w:lastRowFirstColumn="0" w:lastRowLastColumn="0"/>
              <w:rPr>
                <w:rFonts w:ascii="Garamond" w:eastAsia="Arial Unicode MS" w:hAnsi="Garamond" w:cs="Arial Unicode MS"/>
                <w:color w:val="4C483D"/>
                <w:sz w:val="24"/>
                <w:szCs w:val="24"/>
                <w:u w:color="4C483D"/>
                <w:bdr w:val="nil"/>
                <w:lang w:val="es-ES_tradnl"/>
              </w:rPr>
            </w:pPr>
            <w:r w:rsidRPr="00222569">
              <w:rPr>
                <w:rFonts w:ascii="Garamond" w:eastAsia="Arial Unicode MS" w:hAnsi="Garamond" w:cs="Arial Unicode MS"/>
                <w:color w:val="4C483D"/>
                <w:sz w:val="24"/>
                <w:szCs w:val="24"/>
                <w:u w:color="4C483D"/>
                <w:bdr w:val="nil"/>
                <w:lang w:val="es-ES_tradnl"/>
              </w:rPr>
              <w:t>Si la subvención solicitada es igual o mayor a cincuenta mil (50,000) dólares, se requiere presentar los estados financieros compilados y certificados por un Contador Público Autorizado con licencia vigente.</w:t>
            </w:r>
          </w:p>
          <w:p w:rsidR="00222569" w:rsidRPr="00222569" w:rsidRDefault="00222569" w:rsidP="00222569">
            <w:pPr>
              <w:numPr>
                <w:ilvl w:val="0"/>
                <w:numId w:val="2"/>
              </w:numPr>
              <w:pBdr>
                <w:top w:val="nil"/>
                <w:left w:val="nil"/>
                <w:bottom w:val="nil"/>
                <w:right w:val="nil"/>
                <w:between w:val="nil"/>
                <w:bar w:val="nil"/>
              </w:pBdr>
              <w:contextualSpacing/>
              <w:jc w:val="both"/>
              <w:cnfStyle w:val="000000000000" w:firstRow="0" w:lastRow="0" w:firstColumn="0" w:lastColumn="0" w:oddVBand="0" w:evenVBand="0" w:oddHBand="0" w:evenHBand="0" w:firstRowFirstColumn="0" w:firstRowLastColumn="0" w:lastRowFirstColumn="0" w:lastRowLastColumn="0"/>
              <w:rPr>
                <w:rFonts w:ascii="Garamond" w:eastAsia="Arial Unicode MS" w:hAnsi="Garamond" w:cs="Arial Unicode MS"/>
                <w:color w:val="4C483D"/>
                <w:sz w:val="24"/>
                <w:szCs w:val="24"/>
                <w:u w:color="4C483D"/>
                <w:bdr w:val="nil"/>
                <w:lang w:val="es-ES_tradnl"/>
              </w:rPr>
            </w:pPr>
            <w:r w:rsidRPr="00222569">
              <w:rPr>
                <w:rFonts w:ascii="Garamond" w:eastAsia="Arial Unicode MS" w:hAnsi="Garamond" w:cs="Arial Unicode MS"/>
                <w:color w:val="4C483D"/>
                <w:sz w:val="24"/>
                <w:szCs w:val="24"/>
                <w:u w:color="4C483D"/>
                <w:bdr w:val="nil"/>
                <w:lang w:val="es-ES_tradnl"/>
              </w:rPr>
              <w:t xml:space="preserve"> Si la subvención solicitada es menor a cincuenta mil (50,000) dólares, se requiere presentar los estados financieros firmados por un Contador o Tesorero de la OSFL.</w:t>
            </w:r>
          </w:p>
        </w:tc>
      </w:tr>
      <w:tr w:rsidR="00222569" w:rsidRPr="005768BE" w:rsidTr="000E1D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Pr>
          <w:p w:rsidR="00222569" w:rsidRPr="00222569" w:rsidRDefault="00222569" w:rsidP="00222569">
            <w:pPr>
              <w:pBdr>
                <w:top w:val="nil"/>
                <w:left w:val="nil"/>
                <w:bottom w:val="nil"/>
                <w:right w:val="nil"/>
                <w:between w:val="nil"/>
                <w:bar w:val="nil"/>
              </w:pBdr>
              <w:spacing w:after="0"/>
              <w:rPr>
                <w:rFonts w:ascii="Garamond" w:eastAsia="Arial Unicode MS" w:hAnsi="Garamond" w:cs="Times New Roman"/>
                <w:sz w:val="26"/>
                <w:szCs w:val="26"/>
                <w:bdr w:val="nil"/>
                <w:lang w:val="es-PR"/>
              </w:rPr>
            </w:pPr>
            <w:r w:rsidRPr="00222569">
              <w:rPr>
                <w:rFonts w:ascii="Garamond" w:eastAsia="Arial Unicode MS" w:hAnsi="Garamond" w:cs="Times New Roman"/>
                <w:sz w:val="32"/>
                <w:szCs w:val="32"/>
                <w:bdr w:val="nil"/>
                <w:lang w:val="es-PR"/>
              </w:rPr>
              <w:sym w:font="Wingdings" w:char="F0A8"/>
            </w:r>
          </w:p>
        </w:tc>
        <w:tc>
          <w:tcPr>
            <w:tcW w:w="9933" w:type="dxa"/>
          </w:tcPr>
          <w:p w:rsidR="00222569" w:rsidRPr="00222569" w:rsidRDefault="00222569" w:rsidP="00222569">
            <w:pPr>
              <w:pBdr>
                <w:top w:val="nil"/>
                <w:left w:val="nil"/>
                <w:bottom w:val="nil"/>
                <w:right w:val="nil"/>
                <w:between w:val="nil"/>
                <w:bar w:val="nil"/>
              </w:pBdr>
              <w:spacing w:after="0"/>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cs="Times New Roman"/>
                <w:sz w:val="24"/>
                <w:szCs w:val="24"/>
                <w:bdr w:val="nil"/>
                <w:lang w:val="es-PR"/>
              </w:rPr>
            </w:pPr>
            <w:r w:rsidRPr="00222569">
              <w:rPr>
                <w:rFonts w:ascii="Times New Roman" w:eastAsia="Arial Unicode MS" w:hAnsi="Times New Roman" w:cs="Times New Roman"/>
                <w:sz w:val="24"/>
                <w:szCs w:val="24"/>
                <w:bdr w:val="nil"/>
                <w:lang w:val="es-PR"/>
              </w:rPr>
              <w:t xml:space="preserve">Mostrar </w:t>
            </w:r>
            <w:r w:rsidRPr="00222569">
              <w:rPr>
                <w:rFonts w:ascii="Times New Roman" w:eastAsia="Arial Unicode MS" w:hAnsi="Times New Roman" w:cs="Times New Roman"/>
                <w:b/>
                <w:sz w:val="24"/>
                <w:szCs w:val="24"/>
                <w:bdr w:val="nil"/>
                <w:lang w:val="es-PR"/>
              </w:rPr>
              <w:t>evidencia de pareo de fondos</w:t>
            </w:r>
            <w:r w:rsidRPr="00222569">
              <w:rPr>
                <w:rFonts w:ascii="Times New Roman" w:eastAsia="Arial Unicode MS" w:hAnsi="Times New Roman" w:cs="Times New Roman"/>
                <w:sz w:val="24"/>
                <w:szCs w:val="24"/>
                <w:bdr w:val="nil"/>
                <w:lang w:val="es-PR"/>
              </w:rPr>
              <w:t xml:space="preserve"> por una cantidad mínima equivalente al 20% del fondo solicitado en su propuesta. </w:t>
            </w:r>
          </w:p>
          <w:p w:rsidR="00222569" w:rsidRPr="00222569" w:rsidRDefault="00222569" w:rsidP="00222569">
            <w:pPr>
              <w:numPr>
                <w:ilvl w:val="0"/>
                <w:numId w:val="1"/>
              </w:numPr>
              <w:pBdr>
                <w:top w:val="nil"/>
                <w:left w:val="nil"/>
                <w:bottom w:val="nil"/>
                <w:right w:val="nil"/>
                <w:between w:val="nil"/>
                <w:bar w:val="nil"/>
              </w:pBdr>
              <w:contextualSpacing/>
              <w:jc w:val="both"/>
              <w:cnfStyle w:val="000000010000" w:firstRow="0" w:lastRow="0" w:firstColumn="0" w:lastColumn="0" w:oddVBand="0" w:evenVBand="0" w:oddHBand="0" w:evenHBand="1" w:firstRowFirstColumn="0" w:firstRowLastColumn="0" w:lastRowFirstColumn="0" w:lastRowLastColumn="0"/>
              <w:rPr>
                <w:rFonts w:ascii="Garamond" w:eastAsia="Arial Unicode MS" w:hAnsi="Garamond" w:cs="Arial Unicode MS"/>
                <w:color w:val="4C483D"/>
                <w:sz w:val="24"/>
                <w:szCs w:val="24"/>
                <w:u w:color="4C483D"/>
                <w:bdr w:val="nil"/>
                <w:lang w:val="es-PR"/>
              </w:rPr>
            </w:pPr>
            <w:r w:rsidRPr="00222569">
              <w:rPr>
                <w:rFonts w:ascii="Garamond" w:eastAsia="Arial Unicode MS" w:hAnsi="Garamond" w:cs="Arial Unicode MS"/>
                <w:color w:val="4C483D"/>
                <w:sz w:val="24"/>
                <w:szCs w:val="24"/>
                <w:u w:color="4C483D"/>
                <w:bdr w:val="nil"/>
                <w:lang w:val="es-PR"/>
              </w:rPr>
              <w:t>Estos fondos deberán estar sostenidos por cuentas de ahorro, certificados de depósitos, cheques de gerente, giros o cualquier otra cuenta o instrumento financiero endosado a favor  de la organización solicitante y del que se desprenda, además de la cantidad, su fuente de origen.</w:t>
            </w:r>
          </w:p>
          <w:p w:rsidR="00222569" w:rsidRPr="00222569" w:rsidRDefault="00222569" w:rsidP="00222569">
            <w:pPr>
              <w:numPr>
                <w:ilvl w:val="0"/>
                <w:numId w:val="1"/>
              </w:numPr>
              <w:pBdr>
                <w:top w:val="nil"/>
                <w:left w:val="nil"/>
                <w:bottom w:val="nil"/>
                <w:right w:val="nil"/>
                <w:between w:val="nil"/>
                <w:bar w:val="nil"/>
              </w:pBdr>
              <w:contextualSpacing/>
              <w:jc w:val="both"/>
              <w:cnfStyle w:val="000000010000" w:firstRow="0" w:lastRow="0" w:firstColumn="0" w:lastColumn="0" w:oddVBand="0" w:evenVBand="0" w:oddHBand="0" w:evenHBand="1" w:firstRowFirstColumn="0" w:firstRowLastColumn="0" w:lastRowFirstColumn="0" w:lastRowLastColumn="0"/>
              <w:rPr>
                <w:rFonts w:ascii="Garamond" w:eastAsia="Arial Unicode MS" w:hAnsi="Garamond" w:cs="Arial Unicode MS"/>
                <w:color w:val="4C483D"/>
                <w:sz w:val="24"/>
                <w:szCs w:val="24"/>
                <w:u w:color="4C483D"/>
                <w:bdr w:val="nil"/>
                <w:lang w:val="es-PR"/>
              </w:rPr>
            </w:pPr>
            <w:r w:rsidRPr="00222569">
              <w:rPr>
                <w:rFonts w:ascii="Garamond" w:eastAsia="Arial Unicode MS" w:hAnsi="Garamond" w:cs="Arial Unicode MS"/>
                <w:color w:val="4C483D"/>
                <w:sz w:val="24"/>
                <w:szCs w:val="24"/>
                <w:u w:color="4C483D"/>
                <w:bdr w:val="nil"/>
                <w:lang w:val="es-PR"/>
              </w:rPr>
              <w:t xml:space="preserve">El pareo mínimo requerido podrá también ser aportado en especie, siempre que tal aportación sea debidamente evidenciada estableciendo el costo de la propiedad, equipo, pago de alquiler y utilidades. Se podrá presentar un pareo en especie mediante servicio voluntario, siempre y cuando el mismo sea acompañado por un  registro de voluntariado debidamente notariado el cual deberá incluir por lo menos la información de contacto de cada persona (nombre, dirección, teléfono, experiencia profesional, educación) y la función o descripción del trabajo voluntario brindado a la OFSL durante el último año operacional previo a la fecha de la presentación de la solicitud.  </w:t>
            </w:r>
          </w:p>
        </w:tc>
      </w:tr>
    </w:tbl>
    <w:p w:rsidR="00E57ABE" w:rsidRPr="002E7F82" w:rsidRDefault="00E57ABE" w:rsidP="002E7F8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s-ES_tradnl"/>
        </w:rPr>
      </w:pPr>
    </w:p>
    <w:sectPr w:rsidR="00E57ABE" w:rsidRPr="002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763E"/>
    <w:multiLevelType w:val="hybridMultilevel"/>
    <w:tmpl w:val="FC92F44C"/>
    <w:lvl w:ilvl="0" w:tplc="7778C956">
      <w:start w:val="16"/>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73C91"/>
    <w:multiLevelType w:val="hybridMultilevel"/>
    <w:tmpl w:val="766801C2"/>
    <w:lvl w:ilvl="0" w:tplc="7778C956">
      <w:start w:val="16"/>
      <w:numFmt w:val="bullet"/>
      <w:lvlText w:val="-"/>
      <w:lvlJc w:val="left"/>
      <w:pPr>
        <w:ind w:left="720" w:hanging="360"/>
      </w:pPr>
      <w:rPr>
        <w:rFonts w:ascii="Century Gothic" w:eastAsiaTheme="majorEastAsia" w:hAnsi="Century Gothic"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69"/>
    <w:rsid w:val="000F706B"/>
    <w:rsid w:val="00222569"/>
    <w:rsid w:val="002E7F82"/>
    <w:rsid w:val="005768BE"/>
    <w:rsid w:val="00A51DAC"/>
    <w:rsid w:val="00E5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222569"/>
    <w:pPr>
      <w:spacing w:before="60" w:after="60" w:line="240" w:lineRule="auto"/>
    </w:pPr>
    <w:rPr>
      <w:rFonts w:eastAsia="Times New Roman"/>
      <w:color w:val="404040"/>
      <w:sz w:val="20"/>
      <w:szCs w:val="20"/>
      <w:lang w:eastAsia="ja-JP"/>
    </w:rPr>
    <w:tblPr>
      <w:tblStyleRowBandSize w:val="1"/>
      <w:tblInd w:w="0" w:type="dxa"/>
      <w:tblBorders>
        <w:top w:val="single" w:sz="4" w:space="0" w:color="B2B2B2"/>
        <w:left w:val="single" w:sz="4" w:space="0" w:color="B2B2B2"/>
        <w:bottom w:val="single" w:sz="4" w:space="0" w:color="B2B2B2"/>
        <w:right w:val="single" w:sz="4" w:space="0" w:color="B2B2B2"/>
        <w:insideV w:val="single" w:sz="4" w:space="0" w:color="B2B2B2"/>
      </w:tblBorders>
      <w:tblCellMar>
        <w:top w:w="0" w:type="dxa"/>
        <w:left w:w="108" w:type="dxa"/>
        <w:bottom w:w="0" w:type="dxa"/>
        <w:right w:w="108" w:type="dxa"/>
      </w:tblCellMar>
    </w:tblPr>
    <w:tblStylePr w:type="firstRow">
      <w:rPr>
        <w:rFonts w:ascii="Century Gothic" w:hAnsi="Century Gothic"/>
        <w:color w:val="F24F4F"/>
        <w:sz w:val="16"/>
      </w:rPr>
      <w:tblPr/>
      <w:tcPr>
        <w:shd w:val="clear" w:color="auto" w:fill="499BC9"/>
      </w:tcPr>
    </w:tblStylePr>
    <w:tblStylePr w:type="lastRow">
      <w:rPr>
        <w:rFonts w:ascii="Century Gothic" w:hAnsi="Century Gothic"/>
        <w:b/>
        <w:caps/>
        <w:smallCaps w:val="0"/>
        <w:color w:val="499BC9"/>
        <w:sz w:val="16"/>
      </w:rPr>
      <w:tblPr/>
      <w:tcPr>
        <w:tcBorders>
          <w:top w:val="nil"/>
        </w:tcBorders>
      </w:tcPr>
    </w:tblStylePr>
    <w:tblStylePr w:type="firstCol">
      <w:rPr>
        <w:rFonts w:ascii="Century Gothic" w:hAnsi="Century Gothic"/>
        <w:sz w:val="16"/>
      </w:rPr>
    </w:tblStylePr>
    <w:tblStylePr w:type="band2Horz">
      <w:tblPr/>
      <w:tcPr>
        <w:shd w:val="clear" w:color="auto" w:fill="D8D8D8"/>
      </w:tcPr>
    </w:tblStylePr>
  </w:style>
  <w:style w:type="paragraph" w:styleId="BalloonText">
    <w:name w:val="Balloon Text"/>
    <w:basedOn w:val="Normal"/>
    <w:link w:val="BalloonTextChar"/>
    <w:uiPriority w:val="99"/>
    <w:semiHidden/>
    <w:unhideWhenUsed/>
    <w:rsid w:val="00A51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222569"/>
    <w:pPr>
      <w:spacing w:before="60" w:after="60" w:line="240" w:lineRule="auto"/>
    </w:pPr>
    <w:rPr>
      <w:rFonts w:eastAsia="Times New Roman"/>
      <w:color w:val="404040"/>
      <w:sz w:val="20"/>
      <w:szCs w:val="20"/>
      <w:lang w:eastAsia="ja-JP"/>
    </w:rPr>
    <w:tblPr>
      <w:tblStyleRowBandSize w:val="1"/>
      <w:tblInd w:w="0" w:type="dxa"/>
      <w:tblBorders>
        <w:top w:val="single" w:sz="4" w:space="0" w:color="B2B2B2"/>
        <w:left w:val="single" w:sz="4" w:space="0" w:color="B2B2B2"/>
        <w:bottom w:val="single" w:sz="4" w:space="0" w:color="B2B2B2"/>
        <w:right w:val="single" w:sz="4" w:space="0" w:color="B2B2B2"/>
        <w:insideV w:val="single" w:sz="4" w:space="0" w:color="B2B2B2"/>
      </w:tblBorders>
      <w:tblCellMar>
        <w:top w:w="0" w:type="dxa"/>
        <w:left w:w="108" w:type="dxa"/>
        <w:bottom w:w="0" w:type="dxa"/>
        <w:right w:w="108" w:type="dxa"/>
      </w:tblCellMar>
    </w:tblPr>
    <w:tblStylePr w:type="firstRow">
      <w:rPr>
        <w:rFonts w:ascii="Century Gothic" w:hAnsi="Century Gothic"/>
        <w:color w:val="F24F4F"/>
        <w:sz w:val="16"/>
      </w:rPr>
      <w:tblPr/>
      <w:tcPr>
        <w:shd w:val="clear" w:color="auto" w:fill="499BC9"/>
      </w:tcPr>
    </w:tblStylePr>
    <w:tblStylePr w:type="lastRow">
      <w:rPr>
        <w:rFonts w:ascii="Century Gothic" w:hAnsi="Century Gothic"/>
        <w:b/>
        <w:caps/>
        <w:smallCaps w:val="0"/>
        <w:color w:val="499BC9"/>
        <w:sz w:val="16"/>
      </w:rPr>
      <w:tblPr/>
      <w:tcPr>
        <w:tcBorders>
          <w:top w:val="nil"/>
        </w:tcBorders>
      </w:tcPr>
    </w:tblStylePr>
    <w:tblStylePr w:type="firstCol">
      <w:rPr>
        <w:rFonts w:ascii="Century Gothic" w:hAnsi="Century Gothic"/>
        <w:sz w:val="16"/>
      </w:rPr>
    </w:tblStylePr>
    <w:tblStylePr w:type="band2Horz">
      <w:tblPr/>
      <w:tcPr>
        <w:shd w:val="clear" w:color="auto" w:fill="D8D8D8"/>
      </w:tcPr>
    </w:tblStylePr>
  </w:style>
  <w:style w:type="paragraph" w:styleId="BalloonText">
    <w:name w:val="Balloon Text"/>
    <w:basedOn w:val="Normal"/>
    <w:link w:val="BalloonTextChar"/>
    <w:uiPriority w:val="99"/>
    <w:semiHidden/>
    <w:unhideWhenUsed/>
    <w:rsid w:val="00A51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Vidal Cerra</dc:creator>
  <cp:lastModifiedBy>Ana M. Vidal Cerra</cp:lastModifiedBy>
  <cp:revision>2</cp:revision>
  <cp:lastPrinted>2015-04-09T16:18:00Z</cp:lastPrinted>
  <dcterms:created xsi:type="dcterms:W3CDTF">2015-04-09T16:17:00Z</dcterms:created>
  <dcterms:modified xsi:type="dcterms:W3CDTF">2015-04-09T16:17:00Z</dcterms:modified>
</cp:coreProperties>
</file>